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6A" w:rsidRPr="00A60C71" w:rsidRDefault="005E7C6A" w:rsidP="005E7C6A">
      <w:pPr>
        <w:spacing w:after="0" w:line="240" w:lineRule="auto"/>
        <w:jc w:val="center"/>
        <w:rPr>
          <w:rFonts w:cs="Calibri"/>
          <w:b/>
        </w:rPr>
      </w:pPr>
      <w:r w:rsidRPr="00A60C71">
        <w:rPr>
          <w:rFonts w:cs="Calibri"/>
          <w:b/>
          <w:noProof/>
          <w:lang w:val="en-US"/>
        </w:rPr>
        <w:drawing>
          <wp:inline distT="0" distB="0" distL="0" distR="0">
            <wp:extent cx="484632" cy="418708"/>
            <wp:effectExtent l="19050" t="0" r="0" b="0"/>
            <wp:docPr id="1" name="Picture 2" descr="logo copy - k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py - kala"/>
                    <pic:cNvPicPr>
                      <a:picLocks noChangeAspect="1" noChangeArrowheads="1"/>
                    </pic:cNvPicPr>
                  </pic:nvPicPr>
                  <pic:blipFill>
                    <a:blip r:embed="rId7" cstate="print"/>
                    <a:srcRect/>
                    <a:stretch>
                      <a:fillRect/>
                    </a:stretch>
                  </pic:blipFill>
                  <pic:spPr bwMode="auto">
                    <a:xfrm>
                      <a:off x="0" y="0"/>
                      <a:ext cx="484632" cy="418708"/>
                    </a:xfrm>
                    <a:prstGeom prst="rect">
                      <a:avLst/>
                    </a:prstGeom>
                    <a:noFill/>
                    <a:ln w="9525">
                      <a:noFill/>
                      <a:miter lim="800000"/>
                      <a:headEnd/>
                      <a:tailEnd/>
                    </a:ln>
                  </pic:spPr>
                </pic:pic>
              </a:graphicData>
            </a:graphic>
          </wp:inline>
        </w:drawing>
      </w:r>
    </w:p>
    <w:p w:rsidR="005E7C6A" w:rsidRPr="00364E92" w:rsidRDefault="005E7C6A" w:rsidP="005E7C6A">
      <w:pPr>
        <w:spacing w:after="0" w:line="240" w:lineRule="auto"/>
        <w:jc w:val="center"/>
        <w:rPr>
          <w:rFonts w:cs="Calibri"/>
          <w:b/>
          <w:sz w:val="24"/>
          <w:szCs w:val="24"/>
        </w:rPr>
      </w:pPr>
      <w:r w:rsidRPr="00364E92">
        <w:rPr>
          <w:rFonts w:cs="Calibri"/>
          <w:b/>
          <w:sz w:val="24"/>
          <w:szCs w:val="24"/>
        </w:rPr>
        <w:t>TAMIL NADU VETERINARY AND ANIMAL SCIENCES UNIVERSITY</w:t>
      </w:r>
    </w:p>
    <w:p w:rsidR="005E7C6A" w:rsidRPr="00364E92" w:rsidRDefault="005E7C6A" w:rsidP="005E7C6A">
      <w:pPr>
        <w:spacing w:after="0" w:line="240" w:lineRule="auto"/>
        <w:jc w:val="center"/>
        <w:rPr>
          <w:rFonts w:cs="Calibri"/>
          <w:b/>
          <w:sz w:val="24"/>
          <w:szCs w:val="24"/>
        </w:rPr>
      </w:pPr>
      <w:r w:rsidRPr="00364E92">
        <w:rPr>
          <w:rFonts w:cs="Calibri"/>
          <w:b/>
          <w:sz w:val="24"/>
          <w:szCs w:val="24"/>
        </w:rPr>
        <w:t>CAREER ADVANCEMENT SCHEME (CAS) – 202</w:t>
      </w:r>
      <w:r w:rsidR="00A82D93">
        <w:rPr>
          <w:rFonts w:cs="Calibri"/>
          <w:b/>
          <w:sz w:val="24"/>
          <w:szCs w:val="24"/>
        </w:rPr>
        <w:t>4</w:t>
      </w:r>
      <w:r w:rsidRPr="00364E92">
        <w:rPr>
          <w:rFonts w:cs="Calibri"/>
          <w:b/>
          <w:sz w:val="24"/>
          <w:szCs w:val="24"/>
        </w:rPr>
        <w:t xml:space="preserve"> (</w:t>
      </w:r>
      <w:r>
        <w:rPr>
          <w:rFonts w:cs="Calibri"/>
          <w:b/>
          <w:sz w:val="24"/>
          <w:szCs w:val="24"/>
        </w:rPr>
        <w:t>Physical Education &amp; Sports Cadres</w:t>
      </w:r>
      <w:r w:rsidRPr="00364E92">
        <w:rPr>
          <w:rFonts w:cs="Calibri"/>
          <w:b/>
          <w:sz w:val="24"/>
          <w:szCs w:val="24"/>
        </w:rPr>
        <w:t xml:space="preserve">) </w:t>
      </w:r>
    </w:p>
    <w:p w:rsidR="005E7C6A" w:rsidRPr="00ED7C57" w:rsidRDefault="005E7C6A" w:rsidP="005E7C6A">
      <w:pPr>
        <w:spacing w:after="0" w:line="240" w:lineRule="auto"/>
        <w:jc w:val="center"/>
        <w:rPr>
          <w:rFonts w:cs="Calibri"/>
          <w:b/>
          <w:sz w:val="24"/>
          <w:szCs w:val="24"/>
        </w:rPr>
      </w:pPr>
    </w:p>
    <w:p w:rsidR="005E7C6A" w:rsidRPr="00ED7C57" w:rsidRDefault="005E7C6A" w:rsidP="005E7C6A">
      <w:pPr>
        <w:spacing w:after="0" w:line="240" w:lineRule="auto"/>
        <w:jc w:val="center"/>
        <w:rPr>
          <w:rFonts w:cs="Calibri"/>
          <w:b/>
          <w:sz w:val="24"/>
          <w:szCs w:val="24"/>
          <w:u w:val="single"/>
        </w:rPr>
      </w:pPr>
      <w:r w:rsidRPr="00ED7C57">
        <w:rPr>
          <w:rFonts w:cs="Calibri"/>
          <w:b/>
          <w:sz w:val="24"/>
          <w:szCs w:val="24"/>
          <w:u w:val="single"/>
        </w:rPr>
        <w:t>INSTRUCTIONS</w:t>
      </w:r>
    </w:p>
    <w:p w:rsidR="005E7C6A" w:rsidRPr="0080380F" w:rsidRDefault="005E7C6A" w:rsidP="005E7C6A">
      <w:pPr>
        <w:spacing w:after="0" w:line="240" w:lineRule="auto"/>
        <w:jc w:val="center"/>
        <w:rPr>
          <w:rFonts w:cs="Calibri"/>
          <w:b/>
          <w:sz w:val="12"/>
          <w:szCs w:val="24"/>
        </w:rPr>
      </w:pPr>
    </w:p>
    <w:p w:rsidR="005E7C6A" w:rsidRPr="00D87EBE" w:rsidRDefault="00BA6386" w:rsidP="004662FB">
      <w:pPr>
        <w:pStyle w:val="ListParagraph"/>
        <w:numPr>
          <w:ilvl w:val="0"/>
          <w:numId w:val="1"/>
        </w:numPr>
        <w:spacing w:after="0"/>
        <w:ind w:right="450"/>
        <w:jc w:val="both"/>
        <w:rPr>
          <w:rFonts w:cs="Calibri"/>
          <w:sz w:val="24"/>
          <w:szCs w:val="24"/>
        </w:rPr>
      </w:pPr>
      <w:r w:rsidRPr="00091375">
        <w:rPr>
          <w:rFonts w:cs="Calibri"/>
          <w:sz w:val="24"/>
        </w:rPr>
        <w:t xml:space="preserve">The Faculty applying for the promotion under Career Advancement Scheme (CAS) shall </w:t>
      </w:r>
      <w:proofErr w:type="gramStart"/>
      <w:r w:rsidRPr="00091375">
        <w:rPr>
          <w:rFonts w:cs="Calibri"/>
          <w:sz w:val="24"/>
        </w:rPr>
        <w:t>opt</w:t>
      </w:r>
      <w:proofErr w:type="gramEnd"/>
      <w:r w:rsidRPr="00091375">
        <w:rPr>
          <w:rFonts w:cs="Calibri"/>
          <w:sz w:val="24"/>
        </w:rPr>
        <w:t xml:space="preserve"> either Academic/Research Score - Assessment Criteria Methodology (ARS-ACM) in the Revised Rules or Performance Based Appraisal System (PBAS) in the Pre-revised Rules. However PBAS in the Pre-revised Rules is applicable only up to 31.12.2023. Only the concerned Application, Checklist and ARS-ACM/PBAS format with all enclosures should be submitted.</w:t>
      </w:r>
    </w:p>
    <w:p w:rsidR="005E7C6A" w:rsidRPr="00D87EBE" w:rsidRDefault="005E7C6A" w:rsidP="004662FB">
      <w:pPr>
        <w:pStyle w:val="ListParagraph"/>
        <w:numPr>
          <w:ilvl w:val="0"/>
          <w:numId w:val="1"/>
        </w:numPr>
        <w:spacing w:after="0"/>
        <w:ind w:right="450"/>
        <w:jc w:val="both"/>
        <w:rPr>
          <w:rFonts w:cs="Calibri"/>
          <w:sz w:val="24"/>
          <w:szCs w:val="24"/>
        </w:rPr>
      </w:pPr>
      <w:r w:rsidRPr="00D87EBE">
        <w:rPr>
          <w:rFonts w:cs="Calibri"/>
          <w:sz w:val="24"/>
          <w:szCs w:val="24"/>
        </w:rPr>
        <w:t xml:space="preserve">The </w:t>
      </w:r>
      <w:r w:rsidR="0080380F" w:rsidRPr="00D87EBE">
        <w:rPr>
          <w:rFonts w:cs="Calibri"/>
          <w:sz w:val="24"/>
          <w:szCs w:val="24"/>
        </w:rPr>
        <w:t>ARS-ACM/PBAS format (in MS-</w:t>
      </w:r>
      <w:r w:rsidRPr="00D87EBE">
        <w:rPr>
          <w:rFonts w:cs="Calibri"/>
          <w:sz w:val="24"/>
          <w:szCs w:val="24"/>
        </w:rPr>
        <w:t xml:space="preserve">Word available in TANUVAS website) should be sent only typewritten in a computer. Hand written </w:t>
      </w:r>
      <w:r w:rsidR="0080380F" w:rsidRPr="00D87EBE">
        <w:rPr>
          <w:rFonts w:cs="Calibri"/>
          <w:sz w:val="24"/>
          <w:szCs w:val="24"/>
        </w:rPr>
        <w:t xml:space="preserve">ARS-ACM/PBAS </w:t>
      </w:r>
      <w:r w:rsidRPr="00D87EBE">
        <w:rPr>
          <w:rFonts w:cs="Calibri"/>
          <w:sz w:val="24"/>
          <w:szCs w:val="24"/>
        </w:rPr>
        <w:t xml:space="preserve">in any other format will not be accepted. The file should not be provided to any other individual who are not employees of TANUVAS under any circumstances. It also should not be used for any other purpose other than the present one. All formats are generally in tables and hence you may add/delete rows in the </w:t>
      </w:r>
      <w:r w:rsidR="0080380F" w:rsidRPr="00D87EBE">
        <w:rPr>
          <w:rFonts w:cs="Calibri"/>
          <w:sz w:val="24"/>
          <w:szCs w:val="24"/>
        </w:rPr>
        <w:t xml:space="preserve">ARS-ACM/PBAS </w:t>
      </w:r>
      <w:r w:rsidRPr="00D87EBE">
        <w:rPr>
          <w:rFonts w:cs="Calibri"/>
          <w:sz w:val="24"/>
          <w:szCs w:val="24"/>
        </w:rPr>
        <w:t>format at relevant places while filling up.</w:t>
      </w:r>
    </w:p>
    <w:p w:rsidR="005E7C6A" w:rsidRPr="00D87EBE" w:rsidRDefault="005E7C6A" w:rsidP="004662FB">
      <w:pPr>
        <w:pStyle w:val="ListParagraph"/>
        <w:numPr>
          <w:ilvl w:val="0"/>
          <w:numId w:val="1"/>
        </w:numPr>
        <w:spacing w:after="0"/>
        <w:ind w:right="450"/>
        <w:jc w:val="both"/>
        <w:rPr>
          <w:sz w:val="24"/>
          <w:szCs w:val="24"/>
        </w:rPr>
      </w:pPr>
      <w:r w:rsidRPr="00D87EBE">
        <w:rPr>
          <w:rFonts w:cs="Calibri"/>
          <w:sz w:val="24"/>
          <w:szCs w:val="24"/>
        </w:rPr>
        <w:t xml:space="preserve">Guidelines issued by the University should be scrupulously followed while filling up the </w:t>
      </w:r>
      <w:proofErr w:type="spellStart"/>
      <w:r w:rsidRPr="00D87EBE">
        <w:rPr>
          <w:rFonts w:cs="Calibri"/>
          <w:sz w:val="24"/>
          <w:szCs w:val="24"/>
        </w:rPr>
        <w:t>proforma</w:t>
      </w:r>
      <w:proofErr w:type="spellEnd"/>
      <w:r w:rsidRPr="00D87EBE">
        <w:rPr>
          <w:rFonts w:cs="Calibri"/>
          <w:sz w:val="24"/>
          <w:szCs w:val="24"/>
        </w:rPr>
        <w:t xml:space="preserve">. Please look for regular updates at </w:t>
      </w:r>
      <w:hyperlink r:id="rId8" w:history="1">
        <w:r w:rsidRPr="00D87EBE">
          <w:rPr>
            <w:rStyle w:val="Hyperlink"/>
            <w:rFonts w:cs="Calibri"/>
            <w:sz w:val="24"/>
            <w:szCs w:val="24"/>
          </w:rPr>
          <w:t>www.tanuvas.ac.in</w:t>
        </w:r>
      </w:hyperlink>
      <w:r w:rsidRPr="00D87EBE">
        <w:rPr>
          <w:rFonts w:cs="Calibri"/>
          <w:sz w:val="24"/>
          <w:szCs w:val="24"/>
        </w:rPr>
        <w:t xml:space="preserve"> in this regard. The particulars provided should be precise and supported by evidence. </w:t>
      </w:r>
    </w:p>
    <w:p w:rsidR="005E7C6A" w:rsidRPr="00D87EBE" w:rsidRDefault="005E7C6A" w:rsidP="004662FB">
      <w:pPr>
        <w:pStyle w:val="ListParagraph"/>
        <w:numPr>
          <w:ilvl w:val="0"/>
          <w:numId w:val="1"/>
        </w:numPr>
        <w:spacing w:after="0"/>
        <w:ind w:right="450"/>
        <w:jc w:val="both"/>
        <w:rPr>
          <w:rFonts w:cs="Calibri"/>
          <w:sz w:val="24"/>
          <w:szCs w:val="24"/>
        </w:rPr>
      </w:pPr>
      <w:r w:rsidRPr="00D87EBE">
        <w:rPr>
          <w:rFonts w:cs="Calibri"/>
          <w:sz w:val="24"/>
          <w:szCs w:val="24"/>
        </w:rPr>
        <w:t xml:space="preserve">For publications, provide only the first page. </w:t>
      </w:r>
    </w:p>
    <w:p w:rsidR="005E7C6A" w:rsidRPr="00D87EBE" w:rsidRDefault="005E7C6A" w:rsidP="004662FB">
      <w:pPr>
        <w:pStyle w:val="ListParagraph"/>
        <w:numPr>
          <w:ilvl w:val="0"/>
          <w:numId w:val="1"/>
        </w:numPr>
        <w:spacing w:after="0"/>
        <w:ind w:right="450"/>
        <w:jc w:val="both"/>
        <w:rPr>
          <w:rFonts w:cs="Calibri"/>
          <w:sz w:val="24"/>
          <w:szCs w:val="24"/>
        </w:rPr>
      </w:pPr>
      <w:r w:rsidRPr="00D87EBE">
        <w:rPr>
          <w:rFonts w:cs="Calibri"/>
          <w:sz w:val="24"/>
          <w:szCs w:val="24"/>
        </w:rPr>
        <w:t xml:space="preserve">Activities in addition to what has been mentioned may also be provided in the PBAS </w:t>
      </w:r>
      <w:proofErr w:type="spellStart"/>
      <w:r w:rsidRPr="00D87EBE">
        <w:rPr>
          <w:rFonts w:cs="Calibri"/>
          <w:sz w:val="24"/>
          <w:szCs w:val="24"/>
        </w:rPr>
        <w:t>proforma</w:t>
      </w:r>
      <w:proofErr w:type="spellEnd"/>
      <w:r w:rsidRPr="00D87EBE">
        <w:rPr>
          <w:rFonts w:cs="Calibri"/>
          <w:sz w:val="24"/>
          <w:szCs w:val="24"/>
        </w:rPr>
        <w:t xml:space="preserve"> (in the Pre-revised Rules only) under any other</w:t>
      </w:r>
      <w:r w:rsidR="00F75752" w:rsidRPr="00D87EBE">
        <w:rPr>
          <w:rFonts w:cs="Calibri"/>
          <w:sz w:val="24"/>
          <w:szCs w:val="24"/>
        </w:rPr>
        <w:t xml:space="preserve"> information</w:t>
      </w:r>
      <w:r w:rsidRPr="00D87EBE">
        <w:rPr>
          <w:rFonts w:cs="Calibri"/>
          <w:sz w:val="24"/>
          <w:szCs w:val="24"/>
        </w:rPr>
        <w:t>. Indicate these in quantitative terms.</w:t>
      </w:r>
    </w:p>
    <w:p w:rsidR="005E7C6A" w:rsidRPr="00D87EBE" w:rsidRDefault="005E7C6A" w:rsidP="004662FB">
      <w:pPr>
        <w:pStyle w:val="ListParagraph"/>
        <w:numPr>
          <w:ilvl w:val="0"/>
          <w:numId w:val="1"/>
        </w:numPr>
        <w:spacing w:after="0"/>
        <w:ind w:right="450"/>
        <w:jc w:val="both"/>
        <w:rPr>
          <w:rFonts w:cs="Calibri"/>
          <w:sz w:val="24"/>
          <w:szCs w:val="24"/>
        </w:rPr>
      </w:pPr>
      <w:r w:rsidRPr="00D87EBE">
        <w:rPr>
          <w:rFonts w:cs="Calibri"/>
          <w:sz w:val="24"/>
          <w:szCs w:val="24"/>
        </w:rPr>
        <w:t>Enclosures appended should be page numbered and indicated wher</w:t>
      </w:r>
      <w:r w:rsidR="007E1AD2" w:rsidRPr="00D87EBE">
        <w:rPr>
          <w:rFonts w:cs="Calibri"/>
          <w:sz w:val="24"/>
          <w:szCs w:val="24"/>
        </w:rPr>
        <w:t xml:space="preserve">e </w:t>
      </w:r>
      <w:r w:rsidRPr="00D87EBE">
        <w:rPr>
          <w:rFonts w:cs="Calibri"/>
          <w:sz w:val="24"/>
          <w:szCs w:val="24"/>
        </w:rPr>
        <w:t xml:space="preserve">ever required in the Application as well as in the </w:t>
      </w:r>
      <w:r w:rsidR="0080380F" w:rsidRPr="00D87EBE">
        <w:rPr>
          <w:rFonts w:cs="Calibri"/>
          <w:sz w:val="24"/>
          <w:szCs w:val="24"/>
        </w:rPr>
        <w:t>ARS-ACM</w:t>
      </w:r>
      <w:r w:rsidR="0080380F" w:rsidRPr="00D87EBE">
        <w:rPr>
          <w:rFonts w:cs="Calibri"/>
          <w:color w:val="FF0000"/>
          <w:sz w:val="24"/>
          <w:szCs w:val="24"/>
        </w:rPr>
        <w:t xml:space="preserve"> </w:t>
      </w:r>
      <w:r w:rsidRPr="00D87EBE">
        <w:rPr>
          <w:rFonts w:cs="Calibri"/>
          <w:sz w:val="24"/>
          <w:szCs w:val="24"/>
        </w:rPr>
        <w:t xml:space="preserve">/ PBAS. Every page of </w:t>
      </w:r>
      <w:r w:rsidR="0080380F" w:rsidRPr="00D87EBE">
        <w:rPr>
          <w:rFonts w:cs="Calibri"/>
          <w:sz w:val="24"/>
          <w:szCs w:val="24"/>
        </w:rPr>
        <w:t>ARS-ACM</w:t>
      </w:r>
      <w:r w:rsidR="0080380F" w:rsidRPr="00D87EBE">
        <w:rPr>
          <w:rFonts w:cs="Calibri"/>
          <w:color w:val="FF0000"/>
          <w:sz w:val="24"/>
          <w:szCs w:val="24"/>
        </w:rPr>
        <w:t xml:space="preserve"> </w:t>
      </w:r>
      <w:r w:rsidR="0080380F" w:rsidRPr="00D87EBE">
        <w:rPr>
          <w:rFonts w:cs="Calibri"/>
          <w:sz w:val="24"/>
          <w:szCs w:val="24"/>
        </w:rPr>
        <w:t>/</w:t>
      </w:r>
      <w:r w:rsidR="0080380F" w:rsidRPr="00D87EBE">
        <w:rPr>
          <w:rFonts w:cs="Calibri"/>
          <w:color w:val="FF0000"/>
          <w:sz w:val="24"/>
          <w:szCs w:val="24"/>
        </w:rPr>
        <w:t xml:space="preserve"> </w:t>
      </w:r>
      <w:r w:rsidRPr="00D87EBE">
        <w:rPr>
          <w:rFonts w:cs="Calibri"/>
          <w:sz w:val="24"/>
          <w:szCs w:val="24"/>
        </w:rPr>
        <w:t xml:space="preserve">PBAS should be signed by the applicant. </w:t>
      </w:r>
    </w:p>
    <w:p w:rsidR="00FC30BC" w:rsidRPr="00D87EBE" w:rsidRDefault="00BA6386" w:rsidP="004662FB">
      <w:pPr>
        <w:pStyle w:val="ListParagraph"/>
        <w:numPr>
          <w:ilvl w:val="0"/>
          <w:numId w:val="1"/>
        </w:numPr>
        <w:spacing w:after="0"/>
        <w:ind w:right="450"/>
        <w:jc w:val="both"/>
        <w:rPr>
          <w:rFonts w:cs="Calibri"/>
          <w:sz w:val="24"/>
          <w:szCs w:val="24"/>
        </w:rPr>
      </w:pPr>
      <w:r w:rsidRPr="00A71172">
        <w:rPr>
          <w:rFonts w:cs="Calibri"/>
          <w:sz w:val="24"/>
          <w:szCs w:val="24"/>
        </w:rPr>
        <w:t>The applicants are informed to ensure that data provided are only for the assessment period (year-wise, where ever applicable) as per the Academic Level to which he/she is applying. (</w:t>
      </w:r>
      <w:r w:rsidRPr="00A71172">
        <w:rPr>
          <w:rFonts w:cs="Calibri"/>
          <w:i/>
          <w:sz w:val="24"/>
          <w:szCs w:val="24"/>
        </w:rPr>
        <w:t xml:space="preserve">For </w:t>
      </w:r>
      <w:proofErr w:type="spellStart"/>
      <w:r w:rsidRPr="00A71172">
        <w:rPr>
          <w:rFonts w:cs="Calibri"/>
          <w:i/>
          <w:sz w:val="24"/>
          <w:szCs w:val="24"/>
        </w:rPr>
        <w:t>eg</w:t>
      </w:r>
      <w:proofErr w:type="spellEnd"/>
      <w:r w:rsidRPr="00A71172">
        <w:rPr>
          <w:rFonts w:cs="Calibri"/>
          <w:i/>
          <w:sz w:val="24"/>
          <w:szCs w:val="24"/>
        </w:rPr>
        <w:t>. a candidate, who had joined the University on 15.02.2014 and applying for promotion to Academic Level 11, the period for assessment year-1 shall be 15.02.2014 – 14.02.2015, assessment year-2 shall be 15.02.2015 – 14.02.2016 and so on</w:t>
      </w:r>
      <w:r w:rsidRPr="00A71172">
        <w:rPr>
          <w:rFonts w:cs="Calibri"/>
          <w:sz w:val="24"/>
          <w:szCs w:val="24"/>
        </w:rPr>
        <w:t>)</w:t>
      </w:r>
      <w:r>
        <w:rPr>
          <w:rFonts w:cs="Calibri"/>
          <w:sz w:val="24"/>
          <w:szCs w:val="24"/>
        </w:rPr>
        <w:t xml:space="preserve">. </w:t>
      </w:r>
      <w:r w:rsidRPr="001E1F62">
        <w:rPr>
          <w:rFonts w:cs="Calibri"/>
          <w:i/>
          <w:sz w:val="24"/>
        </w:rPr>
        <w:t>In the event of delayed fulfilling of mandatory requirements, the applicant should furnish the data up to the date of fulfilling all the requirements (i.e. up to the extended assessment period).</w:t>
      </w:r>
      <w:r w:rsidR="003B250B" w:rsidRPr="00D87EBE">
        <w:rPr>
          <w:rFonts w:cs="Calibri"/>
          <w:sz w:val="24"/>
          <w:szCs w:val="24"/>
        </w:rPr>
        <w:t xml:space="preserve">   </w:t>
      </w:r>
    </w:p>
    <w:p w:rsidR="005E7C6A" w:rsidRPr="00D87EBE" w:rsidRDefault="005E7C6A" w:rsidP="004662FB">
      <w:pPr>
        <w:pStyle w:val="ListParagraph"/>
        <w:numPr>
          <w:ilvl w:val="0"/>
          <w:numId w:val="1"/>
        </w:numPr>
        <w:spacing w:after="0"/>
        <w:ind w:right="450"/>
        <w:jc w:val="both"/>
        <w:rPr>
          <w:rFonts w:cs="Calibri"/>
          <w:sz w:val="24"/>
          <w:szCs w:val="24"/>
        </w:rPr>
      </w:pPr>
      <w:r w:rsidRPr="00D87EBE">
        <w:rPr>
          <w:rFonts w:cs="Calibri"/>
          <w:sz w:val="24"/>
          <w:szCs w:val="24"/>
        </w:rPr>
        <w:t xml:space="preserve">The </w:t>
      </w:r>
      <w:proofErr w:type="spellStart"/>
      <w:r w:rsidRPr="00D87EBE">
        <w:rPr>
          <w:rFonts w:cs="Calibri"/>
          <w:sz w:val="24"/>
          <w:szCs w:val="24"/>
        </w:rPr>
        <w:t>HoDs</w:t>
      </w:r>
      <w:proofErr w:type="spellEnd"/>
      <w:r w:rsidRPr="00D87EBE">
        <w:rPr>
          <w:rFonts w:cs="Calibri"/>
          <w:sz w:val="24"/>
          <w:szCs w:val="24"/>
        </w:rPr>
        <w:t xml:space="preserve"> and UOs or the officers concerned should carefully scrutinize the data before sending the same to the University. Application with insufficient information will be summarily rejected. The incumbent teacher must be on the roll and in active service of the University on the date of consideration for promotion.</w:t>
      </w:r>
    </w:p>
    <w:p w:rsidR="005E7C6A" w:rsidRPr="00D87EBE" w:rsidRDefault="005E7C6A" w:rsidP="004662FB">
      <w:pPr>
        <w:pStyle w:val="ListParagraph"/>
        <w:numPr>
          <w:ilvl w:val="0"/>
          <w:numId w:val="1"/>
        </w:numPr>
        <w:spacing w:after="0"/>
        <w:ind w:right="450"/>
        <w:jc w:val="both"/>
        <w:rPr>
          <w:rFonts w:cs="Calibri"/>
          <w:sz w:val="24"/>
          <w:szCs w:val="24"/>
        </w:rPr>
      </w:pPr>
      <w:r w:rsidRPr="00D87EBE">
        <w:rPr>
          <w:rFonts w:cs="Calibri"/>
          <w:sz w:val="24"/>
          <w:szCs w:val="24"/>
        </w:rPr>
        <w:t xml:space="preserve">Applicants who were doing </w:t>
      </w:r>
      <w:proofErr w:type="spellStart"/>
      <w:r w:rsidRPr="00D87EBE">
        <w:rPr>
          <w:rFonts w:cs="Calibri"/>
          <w:sz w:val="24"/>
          <w:szCs w:val="24"/>
        </w:rPr>
        <w:t>Ph.D</w:t>
      </w:r>
      <w:proofErr w:type="spellEnd"/>
      <w:r w:rsidRPr="00D87EBE">
        <w:rPr>
          <w:rFonts w:cs="Calibri"/>
          <w:sz w:val="24"/>
          <w:szCs w:val="24"/>
        </w:rPr>
        <w:t xml:space="preserve"> under part time / on deputation during the assessment period may clearly mention </w:t>
      </w:r>
      <w:r w:rsidR="0080380F" w:rsidRPr="00D87EBE">
        <w:rPr>
          <w:rFonts w:cs="Calibri"/>
          <w:sz w:val="24"/>
          <w:szCs w:val="24"/>
        </w:rPr>
        <w:t xml:space="preserve">the same </w:t>
      </w:r>
      <w:r w:rsidRPr="00D87EBE">
        <w:rPr>
          <w:rFonts w:cs="Calibri"/>
          <w:sz w:val="24"/>
          <w:szCs w:val="24"/>
        </w:rPr>
        <w:t xml:space="preserve">along with USO permitting them to do part time Ph.D. </w:t>
      </w:r>
      <w:r w:rsidRPr="00D87EBE">
        <w:rPr>
          <w:rFonts w:cs="Calibri"/>
          <w:sz w:val="24"/>
          <w:szCs w:val="24"/>
        </w:rPr>
        <w:lastRenderedPageBreak/>
        <w:t xml:space="preserve">The screening committee shall decide </w:t>
      </w:r>
      <w:r w:rsidR="0080380F" w:rsidRPr="00D87EBE">
        <w:rPr>
          <w:rFonts w:cs="Calibri"/>
          <w:sz w:val="24"/>
          <w:szCs w:val="24"/>
        </w:rPr>
        <w:t xml:space="preserve">on </w:t>
      </w:r>
      <w:r w:rsidRPr="00D87EBE">
        <w:rPr>
          <w:rFonts w:cs="Calibri"/>
          <w:sz w:val="24"/>
          <w:szCs w:val="24"/>
        </w:rPr>
        <w:t>the assessment during the period with the approval of the University.</w:t>
      </w:r>
    </w:p>
    <w:p w:rsidR="005E7C6A" w:rsidRPr="00D87EBE" w:rsidRDefault="005E7C6A" w:rsidP="004662FB">
      <w:pPr>
        <w:pStyle w:val="ListParagraph"/>
        <w:numPr>
          <w:ilvl w:val="0"/>
          <w:numId w:val="1"/>
        </w:numPr>
        <w:spacing w:after="0"/>
        <w:ind w:right="450"/>
        <w:jc w:val="both"/>
        <w:rPr>
          <w:rFonts w:cs="Calibri"/>
          <w:sz w:val="24"/>
          <w:szCs w:val="24"/>
        </w:rPr>
      </w:pPr>
      <w:r w:rsidRPr="00D87EBE">
        <w:rPr>
          <w:rFonts w:cs="Calibri"/>
          <w:sz w:val="24"/>
          <w:szCs w:val="24"/>
        </w:rPr>
        <w:t xml:space="preserve">Applicants who were on maternity leave during </w:t>
      </w:r>
      <w:r w:rsidR="008339F8" w:rsidRPr="00D87EBE">
        <w:rPr>
          <w:rFonts w:cs="Calibri"/>
          <w:sz w:val="24"/>
          <w:szCs w:val="24"/>
        </w:rPr>
        <w:t xml:space="preserve">the assessment </w:t>
      </w:r>
      <w:r w:rsidRPr="00D87EBE">
        <w:rPr>
          <w:rFonts w:cs="Calibri"/>
          <w:sz w:val="24"/>
          <w:szCs w:val="24"/>
        </w:rPr>
        <w:t xml:space="preserve">period may also clearly mention </w:t>
      </w:r>
      <w:r w:rsidR="0080380F" w:rsidRPr="00D87EBE">
        <w:rPr>
          <w:rFonts w:cs="Calibri"/>
          <w:sz w:val="24"/>
          <w:szCs w:val="24"/>
        </w:rPr>
        <w:t xml:space="preserve">the same </w:t>
      </w:r>
      <w:r w:rsidRPr="00D87EBE">
        <w:rPr>
          <w:rFonts w:cs="Calibri"/>
          <w:sz w:val="24"/>
          <w:szCs w:val="24"/>
        </w:rPr>
        <w:t xml:space="preserve">along with leave approval letter. The screening committee shall decide </w:t>
      </w:r>
      <w:r w:rsidR="0080380F" w:rsidRPr="00D87EBE">
        <w:rPr>
          <w:rFonts w:cs="Calibri"/>
          <w:sz w:val="24"/>
          <w:szCs w:val="24"/>
        </w:rPr>
        <w:t xml:space="preserve">on </w:t>
      </w:r>
      <w:r w:rsidRPr="00D87EBE">
        <w:rPr>
          <w:rFonts w:cs="Calibri"/>
          <w:sz w:val="24"/>
          <w:szCs w:val="24"/>
        </w:rPr>
        <w:t>the assessment during the period with the approval of the University.</w:t>
      </w:r>
    </w:p>
    <w:p w:rsidR="005E7C6A" w:rsidRPr="00D87EBE" w:rsidRDefault="005E7C6A" w:rsidP="004662FB">
      <w:pPr>
        <w:pStyle w:val="ListParagraph"/>
        <w:numPr>
          <w:ilvl w:val="0"/>
          <w:numId w:val="1"/>
        </w:numPr>
        <w:spacing w:after="0"/>
        <w:ind w:right="450"/>
        <w:jc w:val="both"/>
        <w:rPr>
          <w:rFonts w:cs="Calibri"/>
          <w:sz w:val="24"/>
          <w:szCs w:val="24"/>
        </w:rPr>
      </w:pPr>
      <w:r w:rsidRPr="00D87EBE">
        <w:rPr>
          <w:rFonts w:cs="Calibri"/>
          <w:bCs/>
          <w:sz w:val="24"/>
          <w:szCs w:val="24"/>
        </w:rPr>
        <w:t>The period of EOL availed for higher scientific and technical studies including Ph.D. programme by the employees who were permitted after 24.06.2004 shall not be counted as Qualifying Service for the purpose of Career Advancement.</w:t>
      </w:r>
    </w:p>
    <w:p w:rsidR="00D87EBE" w:rsidRPr="00D87EBE" w:rsidRDefault="00D87EBE" w:rsidP="004662FB">
      <w:pPr>
        <w:pStyle w:val="ListParagraph"/>
        <w:numPr>
          <w:ilvl w:val="0"/>
          <w:numId w:val="1"/>
        </w:numPr>
        <w:spacing w:after="0"/>
        <w:ind w:right="450"/>
        <w:jc w:val="both"/>
        <w:rPr>
          <w:rFonts w:asciiTheme="minorHAnsi" w:eastAsiaTheme="minorHAnsi" w:hAnsiTheme="minorHAnsi" w:cs="Arial"/>
          <w:b/>
          <w:sz w:val="24"/>
          <w:szCs w:val="24"/>
        </w:rPr>
      </w:pPr>
      <w:r w:rsidRPr="00D87EBE">
        <w:rPr>
          <w:rFonts w:cs="Calibri"/>
          <w:sz w:val="24"/>
          <w:szCs w:val="24"/>
        </w:rPr>
        <w:t xml:space="preserve">The cut-off date for all qualifications and performance indicators shall be </w:t>
      </w:r>
      <w:r w:rsidR="00BA6386">
        <w:rPr>
          <w:rFonts w:cs="Calibri"/>
          <w:b/>
          <w:sz w:val="24"/>
          <w:szCs w:val="24"/>
          <w:u w:val="single"/>
        </w:rPr>
        <w:t>__________</w:t>
      </w:r>
      <w:r w:rsidR="00C06DD1">
        <w:rPr>
          <w:rFonts w:cs="Calibri"/>
          <w:b/>
          <w:sz w:val="24"/>
          <w:szCs w:val="24"/>
          <w:u w:val="single"/>
        </w:rPr>
        <w:t>.</w:t>
      </w:r>
    </w:p>
    <w:p w:rsidR="00D87EBE" w:rsidRPr="00D87EBE" w:rsidRDefault="00D87EBE" w:rsidP="004662FB">
      <w:pPr>
        <w:pStyle w:val="ListParagraph"/>
        <w:numPr>
          <w:ilvl w:val="0"/>
          <w:numId w:val="1"/>
        </w:numPr>
        <w:spacing w:after="0"/>
        <w:ind w:right="450"/>
        <w:jc w:val="both"/>
        <w:rPr>
          <w:rFonts w:asciiTheme="minorHAnsi" w:eastAsiaTheme="minorHAnsi" w:hAnsiTheme="minorHAnsi" w:cs="Arial"/>
          <w:sz w:val="24"/>
          <w:szCs w:val="24"/>
        </w:rPr>
      </w:pPr>
      <w:r w:rsidRPr="00D87EBE">
        <w:rPr>
          <w:rFonts w:asciiTheme="minorHAnsi" w:hAnsiTheme="minorHAnsi" w:cs="Calibri"/>
          <w:sz w:val="24"/>
          <w:szCs w:val="24"/>
        </w:rPr>
        <w:t xml:space="preserve">Last date for sending completed application along with all necessary enclosures shall be on or before </w:t>
      </w:r>
      <w:r w:rsidR="00BA6386">
        <w:rPr>
          <w:rFonts w:cs="Calibri"/>
          <w:b/>
          <w:sz w:val="24"/>
          <w:szCs w:val="24"/>
          <w:u w:val="single"/>
        </w:rPr>
        <w:t>__________</w:t>
      </w:r>
      <w:r w:rsidR="00C06DD1">
        <w:rPr>
          <w:rFonts w:cs="Calibri"/>
          <w:b/>
          <w:sz w:val="24"/>
          <w:szCs w:val="24"/>
          <w:u w:val="single"/>
        </w:rPr>
        <w:t>.</w:t>
      </w:r>
      <w:r w:rsidRPr="00D87EBE">
        <w:rPr>
          <w:rFonts w:asciiTheme="minorHAnsi" w:hAnsiTheme="minorHAnsi" w:cs="Calibri"/>
          <w:sz w:val="24"/>
          <w:szCs w:val="24"/>
        </w:rPr>
        <w:t xml:space="preserve"> Hard copy and CD of the filled-in Application, Checklist and ARS-ACM/PBAS format with all enclosures duly forwarded by Heads and / or University officers concerned should reach Registrar within this time frame.</w:t>
      </w:r>
      <w:r w:rsidRPr="00D87EBE">
        <w:rPr>
          <w:rFonts w:asciiTheme="minorHAnsi" w:hAnsiTheme="minorHAnsi"/>
          <w:sz w:val="24"/>
          <w:szCs w:val="24"/>
        </w:rPr>
        <w:t xml:space="preserve"> </w:t>
      </w:r>
    </w:p>
    <w:p w:rsidR="00D87EBE" w:rsidRPr="00D87EBE" w:rsidRDefault="00D87EBE" w:rsidP="004662FB">
      <w:pPr>
        <w:pStyle w:val="ListParagraph"/>
        <w:numPr>
          <w:ilvl w:val="0"/>
          <w:numId w:val="1"/>
        </w:numPr>
        <w:spacing w:after="0"/>
        <w:ind w:right="450"/>
        <w:jc w:val="both"/>
        <w:rPr>
          <w:sz w:val="24"/>
          <w:szCs w:val="24"/>
        </w:rPr>
      </w:pPr>
      <w:r w:rsidRPr="00D87EBE">
        <w:rPr>
          <w:rFonts w:cs="Calibri"/>
          <w:sz w:val="24"/>
          <w:szCs w:val="24"/>
        </w:rPr>
        <w:t xml:space="preserve">Earlier applicants having pending issues in promotion under CAS and opting for pre-revised norms (PBAS) may contact IQAC for alternate options in the application procedure, devoid of Category I. </w:t>
      </w:r>
    </w:p>
    <w:p w:rsidR="00BA6386" w:rsidRPr="001E1F62" w:rsidRDefault="00BA6386" w:rsidP="004662FB">
      <w:pPr>
        <w:pStyle w:val="ListParagraph"/>
        <w:numPr>
          <w:ilvl w:val="0"/>
          <w:numId w:val="1"/>
        </w:numPr>
        <w:spacing w:after="0"/>
        <w:ind w:right="540"/>
        <w:jc w:val="both"/>
        <w:rPr>
          <w:sz w:val="28"/>
          <w:szCs w:val="24"/>
        </w:rPr>
      </w:pPr>
      <w:r w:rsidRPr="00493362">
        <w:rPr>
          <w:rFonts w:cs="Calibri"/>
          <w:sz w:val="24"/>
        </w:rPr>
        <w:t>Applicants</w:t>
      </w:r>
      <w:r w:rsidRPr="00493362">
        <w:rPr>
          <w:rFonts w:cs="Calibri"/>
          <w:color w:val="FF0000"/>
          <w:sz w:val="24"/>
        </w:rPr>
        <w:t xml:space="preserve"> </w:t>
      </w:r>
      <w:r w:rsidRPr="00493362">
        <w:rPr>
          <w:rFonts w:cs="Calibri"/>
          <w:sz w:val="24"/>
        </w:rPr>
        <w:t>not-promoted</w:t>
      </w:r>
      <w:r>
        <w:rPr>
          <w:rFonts w:cs="Calibri"/>
          <w:sz w:val="24"/>
        </w:rPr>
        <w:t xml:space="preserve">/eligible and not applied </w:t>
      </w:r>
      <w:r w:rsidRPr="00493362">
        <w:rPr>
          <w:rFonts w:cs="Calibri"/>
          <w:sz w:val="24"/>
        </w:rPr>
        <w:t xml:space="preserve">in the earlier assessments </w:t>
      </w:r>
      <w:r>
        <w:rPr>
          <w:rFonts w:cs="Calibri"/>
          <w:sz w:val="24"/>
        </w:rPr>
        <w:t>should send their Application from the eligible date of assessment till the cut-off date.</w:t>
      </w:r>
    </w:p>
    <w:p w:rsidR="00D87EBE" w:rsidRPr="00D87EBE" w:rsidRDefault="00BA6386" w:rsidP="004662FB">
      <w:pPr>
        <w:pStyle w:val="ListParagraph"/>
        <w:numPr>
          <w:ilvl w:val="0"/>
          <w:numId w:val="1"/>
        </w:numPr>
        <w:spacing w:after="0"/>
        <w:ind w:right="450"/>
        <w:jc w:val="both"/>
        <w:rPr>
          <w:sz w:val="24"/>
          <w:szCs w:val="24"/>
        </w:rPr>
      </w:pPr>
      <w:r>
        <w:rPr>
          <w:rFonts w:cs="Calibri"/>
          <w:sz w:val="24"/>
        </w:rPr>
        <w:t>Faculty with Ph.D. in the relevant discipline should enclose the University Order for the Ph.D. equivalence along with the application, wherever required.</w:t>
      </w:r>
    </w:p>
    <w:p w:rsidR="00A55781" w:rsidRPr="00D87EBE" w:rsidRDefault="00D87EBE" w:rsidP="004662FB">
      <w:pPr>
        <w:pStyle w:val="ListParagraph"/>
        <w:numPr>
          <w:ilvl w:val="0"/>
          <w:numId w:val="1"/>
        </w:numPr>
        <w:spacing w:after="0"/>
        <w:ind w:right="450"/>
        <w:jc w:val="both"/>
        <w:rPr>
          <w:sz w:val="24"/>
          <w:szCs w:val="24"/>
        </w:rPr>
      </w:pPr>
      <w:r w:rsidRPr="00D87EBE">
        <w:rPr>
          <w:rFonts w:cs="Calibri"/>
          <w:sz w:val="24"/>
          <w:szCs w:val="24"/>
        </w:rPr>
        <w:t>For any further clarifications/questions, contact Internal Quality Assessment Cell (IQAC), TANUVAS (</w:t>
      </w:r>
      <w:hyperlink r:id="rId9" w:history="1">
        <w:r w:rsidRPr="00D87EBE">
          <w:rPr>
            <w:rStyle w:val="Hyperlink"/>
            <w:rFonts w:cs="Calibri"/>
            <w:sz w:val="24"/>
            <w:szCs w:val="24"/>
          </w:rPr>
          <w:t>iqac@tanuvas.org.in</w:t>
        </w:r>
      </w:hyperlink>
      <w:r w:rsidRPr="00D87EBE">
        <w:rPr>
          <w:rFonts w:cs="Calibri"/>
          <w:sz w:val="24"/>
          <w:szCs w:val="24"/>
        </w:rPr>
        <w:t>).</w:t>
      </w:r>
    </w:p>
    <w:sectPr w:rsidR="00A55781" w:rsidRPr="00D87EBE" w:rsidSect="00D87EBE">
      <w:footerReference w:type="default" r:id="rId10"/>
      <w:pgSz w:w="11906" w:h="16838"/>
      <w:pgMar w:top="1440" w:right="746" w:bottom="990" w:left="81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796" w:rsidRPr="0061448A" w:rsidRDefault="00D15796" w:rsidP="0061448A">
      <w:pPr>
        <w:pStyle w:val="BalloonText"/>
        <w:rPr>
          <w:rFonts w:ascii="Calibri" w:hAnsi="Calibri" w:cs="Times New Roman"/>
          <w:sz w:val="22"/>
          <w:szCs w:val="22"/>
        </w:rPr>
      </w:pPr>
      <w:r>
        <w:separator/>
      </w:r>
    </w:p>
  </w:endnote>
  <w:endnote w:type="continuationSeparator" w:id="0">
    <w:p w:rsidR="00D15796" w:rsidRPr="0061448A" w:rsidRDefault="00D15796" w:rsidP="0061448A">
      <w:pPr>
        <w:pStyle w:val="BalloonText"/>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6642"/>
      <w:docPartObj>
        <w:docPartGallery w:val="Page Numbers (Bottom of Page)"/>
        <w:docPartUnique/>
      </w:docPartObj>
    </w:sdtPr>
    <w:sdtEndPr>
      <w:rPr>
        <w:color w:val="7F7F7F" w:themeColor="background1" w:themeShade="7F"/>
        <w:spacing w:val="60"/>
      </w:rPr>
    </w:sdtEndPr>
    <w:sdtContent>
      <w:p w:rsidR="0061448A" w:rsidRDefault="002E5B3C">
        <w:pPr>
          <w:pStyle w:val="Footer"/>
          <w:pBdr>
            <w:top w:val="single" w:sz="4" w:space="1" w:color="D9D9D9" w:themeColor="background1" w:themeShade="D9"/>
          </w:pBdr>
          <w:jc w:val="right"/>
        </w:pPr>
        <w:fldSimple w:instr=" PAGE   \* MERGEFORMAT ">
          <w:r w:rsidR="00A82D93">
            <w:rPr>
              <w:noProof/>
            </w:rPr>
            <w:t>1</w:t>
          </w:r>
        </w:fldSimple>
        <w:r w:rsidR="0061448A">
          <w:t xml:space="preserve"> | </w:t>
        </w:r>
        <w:r w:rsidR="0061448A">
          <w:rPr>
            <w:color w:val="7F7F7F" w:themeColor="background1" w:themeShade="7F"/>
            <w:spacing w:val="60"/>
          </w:rPr>
          <w:t>Page</w:t>
        </w:r>
      </w:p>
    </w:sdtContent>
  </w:sdt>
  <w:p w:rsidR="0061448A" w:rsidRDefault="00614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796" w:rsidRPr="0061448A" w:rsidRDefault="00D15796" w:rsidP="0061448A">
      <w:pPr>
        <w:pStyle w:val="BalloonText"/>
        <w:rPr>
          <w:rFonts w:ascii="Calibri" w:hAnsi="Calibri" w:cs="Times New Roman"/>
          <w:sz w:val="22"/>
          <w:szCs w:val="22"/>
        </w:rPr>
      </w:pPr>
      <w:r>
        <w:separator/>
      </w:r>
    </w:p>
  </w:footnote>
  <w:footnote w:type="continuationSeparator" w:id="0">
    <w:p w:rsidR="00D15796" w:rsidRPr="0061448A" w:rsidRDefault="00D15796" w:rsidP="0061448A">
      <w:pPr>
        <w:pStyle w:val="BalloonText"/>
        <w:rPr>
          <w:rFonts w:ascii="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51B47"/>
    <w:multiLevelType w:val="hybridMultilevel"/>
    <w:tmpl w:val="5DFAB4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6B47661"/>
    <w:multiLevelType w:val="hybridMultilevel"/>
    <w:tmpl w:val="D98C76FA"/>
    <w:lvl w:ilvl="0" w:tplc="C81C65B6">
      <w:start w:val="1"/>
      <w:numFmt w:val="decimal"/>
      <w:lvlText w:val="%1."/>
      <w:lvlJc w:val="left"/>
      <w:pPr>
        <w:ind w:left="720" w:hanging="360"/>
      </w:pPr>
      <w:rPr>
        <w:b w:val="0"/>
        <w:color w:val="auto"/>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E9238FA"/>
    <w:multiLevelType w:val="hybridMultilevel"/>
    <w:tmpl w:val="4B9288D4"/>
    <w:lvl w:ilvl="0" w:tplc="C81C65B6">
      <w:start w:val="1"/>
      <w:numFmt w:val="decimal"/>
      <w:lvlText w:val="%1."/>
      <w:lvlJc w:val="left"/>
      <w:pPr>
        <w:ind w:left="720" w:hanging="360"/>
      </w:pPr>
      <w:rPr>
        <w:b w:val="0"/>
        <w:color w:val="auto"/>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5E7F6E0C"/>
    <w:multiLevelType w:val="hybridMultilevel"/>
    <w:tmpl w:val="D98C76FA"/>
    <w:lvl w:ilvl="0" w:tplc="C81C65B6">
      <w:start w:val="1"/>
      <w:numFmt w:val="decimal"/>
      <w:lvlText w:val="%1."/>
      <w:lvlJc w:val="left"/>
      <w:pPr>
        <w:ind w:left="720" w:hanging="360"/>
      </w:pPr>
      <w:rPr>
        <w:b w:val="0"/>
        <w:color w:val="auto"/>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60C71"/>
    <w:rsid w:val="00006E33"/>
    <w:rsid w:val="00077735"/>
    <w:rsid w:val="00094354"/>
    <w:rsid w:val="000E5E29"/>
    <w:rsid w:val="00130072"/>
    <w:rsid w:val="002E5B3C"/>
    <w:rsid w:val="003616D7"/>
    <w:rsid w:val="003B250B"/>
    <w:rsid w:val="00410452"/>
    <w:rsid w:val="0041568A"/>
    <w:rsid w:val="004345F0"/>
    <w:rsid w:val="00456478"/>
    <w:rsid w:val="004662FB"/>
    <w:rsid w:val="004B61C0"/>
    <w:rsid w:val="004B779D"/>
    <w:rsid w:val="004D29B8"/>
    <w:rsid w:val="00516FF5"/>
    <w:rsid w:val="00533BA5"/>
    <w:rsid w:val="00572916"/>
    <w:rsid w:val="00574542"/>
    <w:rsid w:val="005A425B"/>
    <w:rsid w:val="005D63EC"/>
    <w:rsid w:val="005E7C6A"/>
    <w:rsid w:val="00605CDC"/>
    <w:rsid w:val="0061448A"/>
    <w:rsid w:val="006870DF"/>
    <w:rsid w:val="00694D6C"/>
    <w:rsid w:val="00723CBE"/>
    <w:rsid w:val="007E1AD2"/>
    <w:rsid w:val="0080380F"/>
    <w:rsid w:val="008339F8"/>
    <w:rsid w:val="008359FC"/>
    <w:rsid w:val="008561D8"/>
    <w:rsid w:val="00890F27"/>
    <w:rsid w:val="008C7E8A"/>
    <w:rsid w:val="00955D6A"/>
    <w:rsid w:val="00967919"/>
    <w:rsid w:val="00986E1F"/>
    <w:rsid w:val="00A4176F"/>
    <w:rsid w:val="00A55781"/>
    <w:rsid w:val="00A558A6"/>
    <w:rsid w:val="00A60C71"/>
    <w:rsid w:val="00A641C3"/>
    <w:rsid w:val="00A82D93"/>
    <w:rsid w:val="00AA4A4D"/>
    <w:rsid w:val="00AC3CDA"/>
    <w:rsid w:val="00AC7FBC"/>
    <w:rsid w:val="00B663D5"/>
    <w:rsid w:val="00BA6386"/>
    <w:rsid w:val="00C06DD1"/>
    <w:rsid w:val="00C542B6"/>
    <w:rsid w:val="00CD3E31"/>
    <w:rsid w:val="00CE6AD3"/>
    <w:rsid w:val="00D15796"/>
    <w:rsid w:val="00D87EBE"/>
    <w:rsid w:val="00D97378"/>
    <w:rsid w:val="00DB039A"/>
    <w:rsid w:val="00DB3F04"/>
    <w:rsid w:val="00DE0927"/>
    <w:rsid w:val="00E96B0E"/>
    <w:rsid w:val="00F259F6"/>
    <w:rsid w:val="00F40564"/>
    <w:rsid w:val="00F62531"/>
    <w:rsid w:val="00F74D10"/>
    <w:rsid w:val="00F75752"/>
    <w:rsid w:val="00FB17C5"/>
    <w:rsid w:val="00FC3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60C71"/>
    <w:rPr>
      <w:color w:val="0000FF"/>
      <w:u w:val="single"/>
    </w:rPr>
  </w:style>
  <w:style w:type="paragraph" w:styleId="ListParagraph">
    <w:name w:val="List Paragraph"/>
    <w:basedOn w:val="Normal"/>
    <w:uiPriority w:val="1"/>
    <w:qFormat/>
    <w:rsid w:val="00A60C71"/>
    <w:pPr>
      <w:ind w:left="720"/>
      <w:contextualSpacing/>
    </w:pPr>
  </w:style>
  <w:style w:type="paragraph" w:styleId="BalloonText">
    <w:name w:val="Balloon Text"/>
    <w:basedOn w:val="Normal"/>
    <w:link w:val="BalloonTextChar"/>
    <w:uiPriority w:val="99"/>
    <w:semiHidden/>
    <w:unhideWhenUsed/>
    <w:rsid w:val="00A6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71"/>
    <w:rPr>
      <w:rFonts w:ascii="Tahoma" w:eastAsia="Calibri" w:hAnsi="Tahoma" w:cs="Tahoma"/>
      <w:sz w:val="16"/>
      <w:szCs w:val="16"/>
    </w:rPr>
  </w:style>
  <w:style w:type="paragraph" w:customStyle="1" w:styleId="Default">
    <w:name w:val="Default"/>
    <w:uiPriority w:val="99"/>
    <w:rsid w:val="00A641C3"/>
    <w:pPr>
      <w:autoSpaceDE w:val="0"/>
      <w:autoSpaceDN w:val="0"/>
      <w:adjustRightInd w:val="0"/>
      <w:spacing w:after="0" w:line="240" w:lineRule="auto"/>
    </w:pPr>
    <w:rPr>
      <w:rFonts w:ascii="Calibri" w:eastAsia="Calibri" w:hAnsi="Calibri" w:cs="Calibri"/>
      <w:color w:val="000000"/>
      <w:sz w:val="24"/>
      <w:szCs w:val="24"/>
      <w:lang w:val="en-US"/>
    </w:rPr>
  </w:style>
  <w:style w:type="table" w:styleId="TableGrid">
    <w:name w:val="Table Grid"/>
    <w:basedOn w:val="TableNormal"/>
    <w:uiPriority w:val="59"/>
    <w:rsid w:val="00D97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144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448A"/>
    <w:rPr>
      <w:rFonts w:ascii="Calibri" w:eastAsia="Calibri" w:hAnsi="Calibri" w:cs="Times New Roman"/>
    </w:rPr>
  </w:style>
  <w:style w:type="paragraph" w:styleId="Footer">
    <w:name w:val="footer"/>
    <w:basedOn w:val="Normal"/>
    <w:link w:val="FooterChar"/>
    <w:uiPriority w:val="99"/>
    <w:unhideWhenUsed/>
    <w:rsid w:val="00614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48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07696855">
      <w:bodyDiv w:val="1"/>
      <w:marLeft w:val="0"/>
      <w:marRight w:val="0"/>
      <w:marTop w:val="0"/>
      <w:marBottom w:val="0"/>
      <w:divBdr>
        <w:top w:val="none" w:sz="0" w:space="0" w:color="auto"/>
        <w:left w:val="none" w:sz="0" w:space="0" w:color="auto"/>
        <w:bottom w:val="none" w:sz="0" w:space="0" w:color="auto"/>
        <w:right w:val="none" w:sz="0" w:space="0" w:color="auto"/>
      </w:divBdr>
    </w:div>
    <w:div w:id="188517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uvas.ac.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qac@tanuvas.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dc:creator>
  <cp:lastModifiedBy>R-SEC</cp:lastModifiedBy>
  <cp:revision>34</cp:revision>
  <cp:lastPrinted>2022-08-25T07:34:00Z</cp:lastPrinted>
  <dcterms:created xsi:type="dcterms:W3CDTF">2020-06-09T08:29:00Z</dcterms:created>
  <dcterms:modified xsi:type="dcterms:W3CDTF">2024-01-02T12:41:00Z</dcterms:modified>
</cp:coreProperties>
</file>